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CD06E" w14:textId="26E1CA9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1143BD">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825CA3" w:rsidRPr="00825CA3">
        <w:rPr>
          <w:rFonts w:cs="Arial"/>
          <w:noProof w:val="0"/>
          <w:sz w:val="24"/>
        </w:rPr>
        <w:t>R4-2101254</w:t>
      </w:r>
    </w:p>
    <w:p w14:paraId="544554F2" w14:textId="7C605ECB" w:rsidR="00024327" w:rsidRPr="000F6D9F" w:rsidRDefault="00FC74D9" w:rsidP="000F6D9F">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 xml:space="preserve">25 </w:t>
      </w:r>
      <w:r w:rsidR="00825CA3">
        <w:rPr>
          <w:rFonts w:cs="Arial"/>
          <w:sz w:val="24"/>
          <w:szCs w:val="24"/>
        </w:rPr>
        <w:t>January</w:t>
      </w:r>
      <w:r w:rsidRPr="000F6D9F">
        <w:rPr>
          <w:rFonts w:cs="Arial"/>
          <w:sz w:val="24"/>
          <w:szCs w:val="24"/>
        </w:rPr>
        <w:t xml:space="preserve"> – </w:t>
      </w:r>
      <w:r>
        <w:rPr>
          <w:rFonts w:cs="Arial"/>
          <w:sz w:val="24"/>
          <w:szCs w:val="24"/>
        </w:rPr>
        <w:t>5</w:t>
      </w:r>
      <w:r w:rsidRPr="000F6D9F">
        <w:rPr>
          <w:rFonts w:cs="Arial"/>
          <w:sz w:val="24"/>
          <w:szCs w:val="24"/>
        </w:rPr>
        <w:t xml:space="preserve"> </w:t>
      </w:r>
      <w:r>
        <w:rPr>
          <w:rFonts w:cs="Arial"/>
          <w:sz w:val="24"/>
          <w:szCs w:val="24"/>
        </w:rPr>
        <w:t>February</w:t>
      </w:r>
      <w:r w:rsidRPr="000F6D9F">
        <w:rPr>
          <w:rFonts w:cs="Arial"/>
          <w:sz w:val="24"/>
          <w:szCs w:val="24"/>
        </w:rPr>
        <w:t>, 202</w:t>
      </w:r>
      <w:r>
        <w:rPr>
          <w:rFonts w:cs="Arial"/>
          <w:sz w:val="24"/>
          <w:szCs w:val="24"/>
        </w:rPr>
        <w:t>1</w:t>
      </w:r>
    </w:p>
    <w:p w14:paraId="672A665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C0BCE87" w14:textId="777777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540648">
        <w:rPr>
          <w:rFonts w:ascii="Arial" w:hAnsi="Arial" w:cs="Arial"/>
          <w:b/>
          <w:sz w:val="24"/>
        </w:rPr>
        <w:t>7</w:t>
      </w:r>
      <w:r w:rsidR="00B827F1" w:rsidRPr="00B827F1">
        <w:rPr>
          <w:rFonts w:ascii="Arial" w:hAnsi="Arial" w:cs="Arial"/>
          <w:b/>
          <w:sz w:val="24"/>
        </w:rPr>
        <w:t>.1</w:t>
      </w:r>
      <w:r w:rsidR="00540648">
        <w:rPr>
          <w:rFonts w:ascii="Arial" w:hAnsi="Arial" w:cs="Arial"/>
          <w:b/>
          <w:sz w:val="24"/>
        </w:rPr>
        <w:t>6</w:t>
      </w:r>
      <w:r w:rsidR="00B827F1" w:rsidRPr="00B827F1">
        <w:rPr>
          <w:rFonts w:ascii="Arial" w:hAnsi="Arial" w:cs="Arial"/>
          <w:b/>
          <w:sz w:val="24"/>
        </w:rPr>
        <w:t>.1.1</w:t>
      </w:r>
    </w:p>
    <w:p w14:paraId="6580842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5C858E1" w14:textId="307CC77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25CA3" w:rsidRPr="00825CA3">
        <w:rPr>
          <w:rFonts w:ascii="Arial" w:hAnsi="Arial" w:cs="Arial"/>
          <w:b/>
          <w:sz w:val="24"/>
        </w:rPr>
        <w:t>Discussion on NR CA UE demodulation requirements</w:t>
      </w:r>
    </w:p>
    <w:p w14:paraId="600A1A65"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E7A9F1C" w14:textId="77777777" w:rsidR="004B515E" w:rsidRPr="00146B4F" w:rsidRDefault="004B515E" w:rsidP="00414EF6">
      <w:pPr>
        <w:pStyle w:val="Heading1"/>
      </w:pPr>
      <w:r w:rsidRPr="00146B4F">
        <w:t>Introduction</w:t>
      </w:r>
    </w:p>
    <w:p w14:paraId="2BBDD463" w14:textId="079B4C59" w:rsidR="001143BD" w:rsidRDefault="005F75E0" w:rsidP="00CF667C">
      <w:pPr>
        <w:jc w:val="both"/>
      </w:pPr>
      <w:r>
        <w:t>In RAN4 #9</w:t>
      </w:r>
      <w:r w:rsidR="001143BD">
        <w:t>7</w:t>
      </w:r>
      <w:r w:rsidR="00B827F1">
        <w:t>-e</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A70A82">
        <w:t>[1]</w:t>
      </w:r>
      <w:r w:rsidR="000F6D9F">
        <w:fldChar w:fldCharType="end"/>
      </w:r>
      <w:r w:rsidR="00551E79">
        <w:t>.</w:t>
      </w:r>
    </w:p>
    <w:p w14:paraId="7D92F5F1" w14:textId="47192C1B" w:rsidR="00F6157C" w:rsidRDefault="00F6157C" w:rsidP="00CF667C">
      <w:pPr>
        <w:jc w:val="both"/>
      </w:pPr>
      <w:r>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14:paraId="4AFE23A4" w14:textId="49ED2190" w:rsidR="00CF667C" w:rsidRDefault="00CF667C" w:rsidP="00414EF6">
      <w:pPr>
        <w:pStyle w:val="Heading1"/>
      </w:pPr>
      <w:r>
        <w:t>Discussion</w:t>
      </w:r>
    </w:p>
    <w:p w14:paraId="292D80BC" w14:textId="76E99A01" w:rsidR="00A90590" w:rsidRDefault="00A90590" w:rsidP="00A90590">
      <w:r w:rsidRPr="00837E76">
        <w:t>In the previous RAN4 meeting the following</w:t>
      </w:r>
      <w:r>
        <w:t xml:space="preserve"> agreements were reached on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0590" w14:paraId="584FACFD" w14:textId="77777777" w:rsidTr="00226C32">
        <w:tc>
          <w:tcPr>
            <w:tcW w:w="9855" w:type="dxa"/>
            <w:shd w:val="clear" w:color="auto" w:fill="auto"/>
          </w:tcPr>
          <w:p w14:paraId="62973B3B" w14:textId="77777777" w:rsidR="000A6928" w:rsidRPr="000A6928" w:rsidRDefault="000A6928" w:rsidP="000A6928">
            <w:pPr>
              <w:numPr>
                <w:ilvl w:val="0"/>
                <w:numId w:val="7"/>
              </w:numPr>
              <w:tabs>
                <w:tab w:val="num" w:pos="1440"/>
                <w:tab w:val="num" w:pos="2880"/>
              </w:tabs>
              <w:spacing w:before="60" w:after="60" w:line="280" w:lineRule="atLeast"/>
              <w:jc w:val="both"/>
              <w:rPr>
                <w:i/>
                <w:lang w:val="en-US"/>
              </w:rPr>
            </w:pPr>
            <w:r w:rsidRPr="000A6928">
              <w:rPr>
                <w:i/>
              </w:rPr>
              <w:t>Antenna connection for CA tests with 4 RX</w:t>
            </w:r>
          </w:p>
          <w:p w14:paraId="5EC8212C" w14:textId="77777777" w:rsidR="000A6928" w:rsidRPr="000A6928" w:rsidRDefault="000A6928" w:rsidP="000A6928">
            <w:pPr>
              <w:numPr>
                <w:ilvl w:val="1"/>
                <w:numId w:val="7"/>
              </w:numPr>
              <w:tabs>
                <w:tab w:val="num" w:pos="2880"/>
              </w:tabs>
              <w:spacing w:before="60" w:after="60" w:line="280" w:lineRule="atLeast"/>
              <w:jc w:val="both"/>
              <w:rPr>
                <w:i/>
                <w:lang w:val="en-US"/>
              </w:rPr>
            </w:pPr>
            <w:r w:rsidRPr="000A6928">
              <w:rPr>
                <w:i/>
              </w:rPr>
              <w:t>Option 1:</w:t>
            </w:r>
          </w:p>
          <w:p w14:paraId="3EAD6D8D" w14:textId="77777777" w:rsidR="000A6928" w:rsidRPr="000A6928" w:rsidRDefault="000A6928" w:rsidP="000A6928">
            <w:pPr>
              <w:numPr>
                <w:ilvl w:val="2"/>
                <w:numId w:val="7"/>
              </w:numPr>
              <w:tabs>
                <w:tab w:val="num" w:pos="2880"/>
              </w:tabs>
              <w:spacing w:before="60" w:after="60" w:line="280" w:lineRule="atLeast"/>
              <w:jc w:val="both"/>
              <w:rPr>
                <w:i/>
                <w:lang w:val="en-US"/>
              </w:rPr>
            </w:pPr>
            <w:r w:rsidRPr="000A6928">
              <w:rPr>
                <w:i/>
              </w:rPr>
              <w:t xml:space="preserve">If any of the PCell and/or the SCells is a 4 RX supported RF band, all 4 RX should be connected with data source from system simulator. </w:t>
            </w:r>
          </w:p>
          <w:p w14:paraId="1E508886" w14:textId="77777777" w:rsidR="000A6928" w:rsidRPr="000A6928" w:rsidRDefault="000A6928" w:rsidP="000A6928">
            <w:pPr>
              <w:numPr>
                <w:ilvl w:val="2"/>
                <w:numId w:val="7"/>
              </w:numPr>
              <w:tabs>
                <w:tab w:val="num" w:pos="2880"/>
              </w:tabs>
              <w:spacing w:before="60" w:after="60" w:line="280" w:lineRule="atLeast"/>
              <w:jc w:val="both"/>
              <w:rPr>
                <w:i/>
                <w:lang w:val="en-US"/>
              </w:rPr>
            </w:pPr>
            <w:r w:rsidRPr="000A6928">
              <w:rPr>
                <w:i/>
              </w:rPr>
              <w:t>If any of the PCell and/or the SCells is a 2 RX supported RF band, 2 out of the 4 RX should be connected with data source from system simulator, and the other 2 RX are connected with zero input.</w:t>
            </w:r>
          </w:p>
          <w:p w14:paraId="12924F67" w14:textId="77777777" w:rsidR="000A6928" w:rsidRPr="000A6928" w:rsidRDefault="000A6928" w:rsidP="000A6928">
            <w:pPr>
              <w:numPr>
                <w:ilvl w:val="1"/>
                <w:numId w:val="7"/>
              </w:numPr>
              <w:tabs>
                <w:tab w:val="num" w:pos="2880"/>
              </w:tabs>
              <w:spacing w:before="60" w:after="60" w:line="280" w:lineRule="atLeast"/>
              <w:jc w:val="both"/>
              <w:rPr>
                <w:i/>
                <w:lang w:val="en-US"/>
              </w:rPr>
            </w:pPr>
            <w:r w:rsidRPr="000A6928">
              <w:rPr>
                <w:i/>
              </w:rPr>
              <w:t>Other options are not precluded</w:t>
            </w:r>
          </w:p>
          <w:p w14:paraId="11FCEA47" w14:textId="77777777" w:rsidR="000A6928" w:rsidRPr="000A6928" w:rsidRDefault="000A6928" w:rsidP="000A6928">
            <w:pPr>
              <w:numPr>
                <w:ilvl w:val="0"/>
                <w:numId w:val="7"/>
              </w:numPr>
              <w:tabs>
                <w:tab w:val="num" w:pos="1440"/>
                <w:tab w:val="num" w:pos="2880"/>
              </w:tabs>
              <w:spacing w:before="60" w:after="60" w:line="280" w:lineRule="atLeast"/>
              <w:jc w:val="both"/>
              <w:rPr>
                <w:i/>
                <w:lang w:val="en-US"/>
              </w:rPr>
            </w:pPr>
            <w:r w:rsidRPr="000A6928">
              <w:rPr>
                <w:i/>
              </w:rPr>
              <w:t>Other issue</w:t>
            </w:r>
          </w:p>
          <w:p w14:paraId="5EDCD120" w14:textId="7F4B4651" w:rsidR="00A90590" w:rsidRPr="000A6928" w:rsidRDefault="000A6928" w:rsidP="000A6928">
            <w:pPr>
              <w:numPr>
                <w:ilvl w:val="1"/>
                <w:numId w:val="7"/>
              </w:numPr>
              <w:tabs>
                <w:tab w:val="num" w:pos="2880"/>
              </w:tabs>
              <w:spacing w:before="60" w:after="60" w:line="280" w:lineRule="atLeast"/>
              <w:jc w:val="both"/>
              <w:rPr>
                <w:i/>
                <w:lang w:val="en-US"/>
              </w:rPr>
            </w:pPr>
            <w:r w:rsidRPr="000A6928">
              <w:rPr>
                <w:i/>
              </w:rPr>
              <w:t xml:space="preserve">Further discuss </w:t>
            </w:r>
            <w:bookmarkStart w:id="2" w:name="_Hlk61542724"/>
            <w:r w:rsidRPr="000A6928">
              <w:rPr>
                <w:i/>
              </w:rPr>
              <w:t>how to test the UE which does not support 2-layer transmission on all CCs for all supported CA configurations</w:t>
            </w:r>
            <w:r w:rsidR="00A90590" w:rsidRPr="000A6928">
              <w:rPr>
                <w:i/>
                <w:lang w:val="en-US"/>
              </w:rPr>
              <w:t xml:space="preserve"> </w:t>
            </w:r>
            <w:bookmarkEnd w:id="2"/>
          </w:p>
        </w:tc>
      </w:tr>
    </w:tbl>
    <w:p w14:paraId="7AC605C1" w14:textId="75CADD76" w:rsidR="00A90590" w:rsidRPr="000A6928" w:rsidRDefault="000A6928" w:rsidP="00A90590">
      <w:pPr>
        <w:rPr>
          <w:b/>
          <w:bCs/>
          <w:u w:val="single"/>
        </w:rPr>
      </w:pPr>
      <w:r w:rsidRPr="000A6928">
        <w:rPr>
          <w:b/>
          <w:bCs/>
          <w:u w:val="single"/>
        </w:rPr>
        <w:t>Antenna connection for CA tests with 4 RX</w:t>
      </w:r>
    </w:p>
    <w:p w14:paraId="05A680D5" w14:textId="7D33D872" w:rsidR="00CB4FBE" w:rsidRDefault="00D93AED" w:rsidP="00A90590">
      <w:r>
        <w:t>As a part of Rel-13</w:t>
      </w:r>
      <w:r w:rsidR="009079B8">
        <w:t xml:space="preserve"> and Rel-14</w:t>
      </w:r>
      <w:r w:rsidR="00CB4FBE">
        <w:t xml:space="preserve"> LTE</w:t>
      </w:r>
      <w:r w:rsidR="009079B8">
        <w:t xml:space="preserve"> 4 RX WI discussion, </w:t>
      </w:r>
      <w:r w:rsidR="00EC353C">
        <w:t xml:space="preserve">the following </w:t>
      </w:r>
      <w:r w:rsidR="009079B8">
        <w:t xml:space="preserve">applicability rules and antenna connection assumptions were </w:t>
      </w:r>
      <w:r w:rsidR="00221029">
        <w:t>defined</w:t>
      </w:r>
      <w:r w:rsidR="009079B8">
        <w:t xml:space="preserve"> for 4 Rx capable UEs</w:t>
      </w:r>
      <w:r w:rsidR="00EC353C">
        <w:t xml:space="preserve"> for CA tests with 4 Rx</w:t>
      </w:r>
      <w:r w:rsidR="00CB4F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B4FBE" w14:paraId="43142351" w14:textId="77777777" w:rsidTr="00152DD8">
        <w:tc>
          <w:tcPr>
            <w:tcW w:w="9855" w:type="dxa"/>
            <w:shd w:val="clear" w:color="auto" w:fill="auto"/>
          </w:tcPr>
          <w:p w14:paraId="4124FD3F" w14:textId="063343CD" w:rsidR="00CB4FBE" w:rsidRDefault="00061FC6" w:rsidP="00061FC6">
            <w:r>
              <w:t>Within the CA/DC configuration if any of the PCell and/or the SCells/PSCell is a 2Rx supported RF band, 2 out of the 4Rx should be connected with data source from system simulator, and the other 2Rx are connected with zero input, depending on UE’s declaration and AP configuration. Within the CA/DC configuration if any of the PCell and/or the SCells is a 4Rx supported RF band, all 4Rx should be connected with data source from system simulator.</w:t>
            </w:r>
          </w:p>
        </w:tc>
      </w:tr>
    </w:tbl>
    <w:p w14:paraId="029EF3D7" w14:textId="42D929A2" w:rsidR="000A6928" w:rsidRDefault="00AD4A13" w:rsidP="00A90590">
      <w:r>
        <w:t>These rules were discussed under assumption that two types of 4 Rx capable UEs may exist</w:t>
      </w:r>
      <w:r w:rsidR="00245E9F">
        <w:t xml:space="preserve"> in the field: Type 1 (</w:t>
      </w:r>
      <w:r w:rsidR="0062104D" w:rsidRPr="0062104D">
        <w:t>UEs only support 2Rx in certain bands and support 4Rx in the other bands</w:t>
      </w:r>
      <w:r w:rsidR="00245E9F">
        <w:t>)</w:t>
      </w:r>
      <w:r w:rsidR="0062104D">
        <w:t xml:space="preserve"> and Type 2 (</w:t>
      </w:r>
      <w:r w:rsidR="00856C18" w:rsidRPr="00856C18">
        <w:t>UE</w:t>
      </w:r>
      <w:r w:rsidR="00856C18">
        <w:t>s</w:t>
      </w:r>
      <w:r w:rsidR="00856C18" w:rsidRPr="00856C18">
        <w:t xml:space="preserve"> support 4Rx in all the bands</w:t>
      </w:r>
      <w:r w:rsidR="0062104D">
        <w:t>)</w:t>
      </w:r>
      <w:r w:rsidR="00856C18">
        <w:t xml:space="preserve">. </w:t>
      </w:r>
      <w:r w:rsidR="00D2207C">
        <w:t xml:space="preserve">For Type 1 4 Rx capable UEs, </w:t>
      </w:r>
      <w:r w:rsidR="00A13C45">
        <w:t xml:space="preserve">test can be applied for CA configuration with mix of 2 and 4 Rx support. Therefore, </w:t>
      </w:r>
      <w:r w:rsidR="00C4389E">
        <w:t xml:space="preserve">in 36.101 </w:t>
      </w:r>
      <w:r w:rsidR="00434BFE">
        <w:t xml:space="preserve">antenna connection approach was defined to describe how </w:t>
      </w:r>
      <w:r w:rsidR="00EC1967">
        <w:t>RX antennas are connected with data source.</w:t>
      </w:r>
      <w:r w:rsidR="00A13C45">
        <w:t xml:space="preserve"> </w:t>
      </w:r>
      <w:r w:rsidR="00C560FE">
        <w:t xml:space="preserve">Taking into account that </w:t>
      </w:r>
      <w:r w:rsidR="00595146">
        <w:t>4 Rx processing</w:t>
      </w:r>
      <w:r w:rsidR="001A2461">
        <w:t xml:space="preserve"> </w:t>
      </w:r>
      <w:r w:rsidR="00595146">
        <w:t xml:space="preserve">is not mandatory </w:t>
      </w:r>
      <w:r w:rsidR="00F958CB">
        <w:t xml:space="preserve">for </w:t>
      </w:r>
      <w:r w:rsidR="00A56EC4">
        <w:rPr>
          <w:lang w:val="en-US"/>
        </w:rPr>
        <w:t xml:space="preserve">all </w:t>
      </w:r>
      <w:r w:rsidR="00CD61E2">
        <w:rPr>
          <w:lang w:val="en-US"/>
        </w:rPr>
        <w:t xml:space="preserve">NR </w:t>
      </w:r>
      <w:r w:rsidR="00F958CB">
        <w:t xml:space="preserve">bands where </w:t>
      </w:r>
      <w:r w:rsidR="00A56EC4">
        <w:t>4 Rx processing is allowed</w:t>
      </w:r>
      <w:r w:rsidR="005B00B3">
        <w:t xml:space="preserve"> (i.e. similar to LTE</w:t>
      </w:r>
      <w:bookmarkStart w:id="3" w:name="_GoBack"/>
      <w:bookmarkEnd w:id="3"/>
      <w:r w:rsidR="005B00B3">
        <w:t>)</w:t>
      </w:r>
      <w:r w:rsidR="00122D37">
        <w:t xml:space="preserve">, we think that </w:t>
      </w:r>
      <w:r w:rsidR="000F3058">
        <w:t>LTE</w:t>
      </w:r>
      <w:r w:rsidR="00122D37">
        <w:t xml:space="preserve"> applicability rule and</w:t>
      </w:r>
      <w:r w:rsidR="00D94821">
        <w:t xml:space="preserve"> antenna connection approach can be </w:t>
      </w:r>
      <w:r w:rsidR="000F3058">
        <w:t>reused for NR requirements.</w:t>
      </w:r>
    </w:p>
    <w:p w14:paraId="0F2390CB" w14:textId="5E96A330" w:rsidR="00A94EFA" w:rsidRPr="00993512" w:rsidRDefault="00A94EFA" w:rsidP="00A94EFA">
      <w:pPr>
        <w:tabs>
          <w:tab w:val="left" w:pos="1276"/>
        </w:tabs>
        <w:ind w:left="1276" w:hanging="1276"/>
        <w:jc w:val="both"/>
        <w:rPr>
          <w:b/>
        </w:rPr>
      </w:pPr>
      <w:r w:rsidRPr="00993512">
        <w:rPr>
          <w:b/>
        </w:rPr>
        <w:t>Proposal 1:</w:t>
      </w:r>
      <w:r w:rsidRPr="00993512">
        <w:rPr>
          <w:b/>
        </w:rPr>
        <w:tab/>
      </w:r>
      <w:r w:rsidR="0042233A">
        <w:rPr>
          <w:b/>
        </w:rPr>
        <w:t xml:space="preserve">Reuse LTE applicability rule </w:t>
      </w:r>
      <w:r w:rsidR="00DE3422" w:rsidRPr="00DE3422">
        <w:rPr>
          <w:b/>
        </w:rPr>
        <w:t>and antenna connection</w:t>
      </w:r>
      <w:r w:rsidR="008F4080">
        <w:rPr>
          <w:b/>
        </w:rPr>
        <w:t xml:space="preserve"> approach defined in </w:t>
      </w:r>
      <w:r w:rsidR="008F4080" w:rsidRPr="008F4080">
        <w:rPr>
          <w:b/>
        </w:rPr>
        <w:t>8.1.2.6.5</w:t>
      </w:r>
      <w:r w:rsidR="008F4080">
        <w:rPr>
          <w:b/>
        </w:rPr>
        <w:t xml:space="preserve"> of 36.101</w:t>
      </w:r>
      <w:r w:rsidR="00DE3422" w:rsidRPr="00DE3422">
        <w:rPr>
          <w:b/>
        </w:rPr>
        <w:t xml:space="preserve"> for </w:t>
      </w:r>
      <w:r w:rsidR="006B1A24">
        <w:rPr>
          <w:b/>
        </w:rPr>
        <w:t xml:space="preserve">NR CA </w:t>
      </w:r>
      <w:r w:rsidR="00DE3422" w:rsidRPr="00DE3422">
        <w:rPr>
          <w:b/>
        </w:rPr>
        <w:t>test</w:t>
      </w:r>
      <w:r w:rsidR="006B1A24">
        <w:rPr>
          <w:b/>
        </w:rPr>
        <w:t>ing of 4 Rx capable UEs.</w:t>
      </w:r>
    </w:p>
    <w:p w14:paraId="5AB28DFE" w14:textId="0F82C560" w:rsidR="000A6928" w:rsidRPr="00965AF0" w:rsidRDefault="00F27E71" w:rsidP="00A90590">
      <w:pPr>
        <w:rPr>
          <w:b/>
          <w:bCs/>
          <w:u w:val="single"/>
        </w:rPr>
      </w:pPr>
      <w:r w:rsidRPr="00965AF0">
        <w:rPr>
          <w:b/>
          <w:bCs/>
          <w:u w:val="single"/>
        </w:rPr>
        <w:t>Applicability for UEs with</w:t>
      </w:r>
      <w:r w:rsidR="00965AF0" w:rsidRPr="00965AF0">
        <w:rPr>
          <w:b/>
          <w:bCs/>
          <w:u w:val="single"/>
        </w:rPr>
        <w:t xml:space="preserve"> support of</w:t>
      </w:r>
      <w:r w:rsidRPr="00965AF0">
        <w:rPr>
          <w:b/>
          <w:bCs/>
          <w:u w:val="single"/>
        </w:rPr>
        <w:t xml:space="preserve"> 1-layer </w:t>
      </w:r>
      <w:r w:rsidR="00965AF0" w:rsidRPr="00965AF0">
        <w:rPr>
          <w:b/>
          <w:bCs/>
          <w:u w:val="single"/>
        </w:rPr>
        <w:t>transmission</w:t>
      </w:r>
    </w:p>
    <w:p w14:paraId="47117BA5" w14:textId="511F137F" w:rsidR="000A6928" w:rsidRDefault="00CB7F77" w:rsidP="00A90590">
      <w:r>
        <w:t>NR CA requirements were defined</w:t>
      </w:r>
      <w:r w:rsidR="00B75967">
        <w:t xml:space="preserve"> for Rank 2 PDSCH transmission </w:t>
      </w:r>
      <w:r w:rsidR="00DE5BDF">
        <w:t xml:space="preserve">and applicability rules </w:t>
      </w:r>
      <w:r w:rsidR="00BD2F9F">
        <w:t xml:space="preserve">were defined to take into account that </w:t>
      </w:r>
      <w:r w:rsidR="00145D1E">
        <w:t xml:space="preserve">Rank 2 PDSCH reception may not be supported </w:t>
      </w:r>
      <w:r w:rsidR="000158FC">
        <w:t>by certain UEs for some</w:t>
      </w:r>
      <w:r w:rsidR="00BD2F9F">
        <w:t xml:space="preserve"> scenarios</w:t>
      </w:r>
      <w:r w:rsidR="000158FC">
        <w:t>. Same time,</w:t>
      </w:r>
      <w:r>
        <w:t xml:space="preserve"> </w:t>
      </w:r>
      <w:r w:rsidR="000158FC">
        <w:t>i</w:t>
      </w:r>
      <w:r w:rsidR="006B1A24">
        <w:t xml:space="preserve">n the previous meeting, </w:t>
      </w:r>
      <w:r w:rsidR="0005729F">
        <w:t xml:space="preserve">one issue </w:t>
      </w:r>
      <w:r>
        <w:t xml:space="preserve">was raised </w:t>
      </w:r>
      <w:r w:rsidR="00DE5BDF">
        <w:t>on</w:t>
      </w:r>
      <w:r>
        <w:t xml:space="preserve"> </w:t>
      </w:r>
      <w:r w:rsidRPr="00CB7F77">
        <w:t>how to test the UE</w:t>
      </w:r>
      <w:r w:rsidR="00621A9A">
        <w:t>s</w:t>
      </w:r>
      <w:r w:rsidRPr="00CB7F77">
        <w:t xml:space="preserve"> which do not support 2-layer transmission on all CCs for </w:t>
      </w:r>
      <w:r w:rsidRPr="00CB7F77">
        <w:lastRenderedPageBreak/>
        <w:t>all supported CA configurations</w:t>
      </w:r>
      <w:r>
        <w:t>.</w:t>
      </w:r>
      <w:r w:rsidR="002B7546">
        <w:t xml:space="preserve"> Based on our understanding, one of the possible solutions </w:t>
      </w:r>
      <w:r w:rsidR="00F27ED0">
        <w:t xml:space="preserve">is to </w:t>
      </w:r>
      <w:r w:rsidR="00C53052">
        <w:t xml:space="preserve">verify UE performance </w:t>
      </w:r>
      <w:r w:rsidR="004E4426">
        <w:t>only on CCs</w:t>
      </w:r>
      <w:r w:rsidR="00E21561">
        <w:t>,</w:t>
      </w:r>
      <w:r w:rsidR="004E4426">
        <w:t xml:space="preserve"> where </w:t>
      </w:r>
      <w:r w:rsidR="00074890">
        <w:t>Rank 2 or 4 PDSCH reception is supported</w:t>
      </w:r>
      <w:r w:rsidR="00E21561">
        <w:t>,</w:t>
      </w:r>
      <w:r w:rsidR="00074890">
        <w:t xml:space="preserve"> </w:t>
      </w:r>
      <w:r w:rsidR="00E54596">
        <w:t xml:space="preserve">and transmit </w:t>
      </w:r>
      <w:r w:rsidR="00E21561">
        <w:t xml:space="preserve">nothing, dummy PDSCH or OCNG on </w:t>
      </w:r>
      <w:r w:rsidR="00A10FD8">
        <w:t>CCs</w:t>
      </w:r>
      <w:r w:rsidR="0032245C">
        <w:t>,</w:t>
      </w:r>
      <w:r w:rsidR="00A10FD8">
        <w:t xml:space="preserve"> where only Rank 1 is supported.</w:t>
      </w:r>
    </w:p>
    <w:p w14:paraId="12424710" w14:textId="79AAEFFA" w:rsidR="0032245C" w:rsidRPr="00E70629" w:rsidRDefault="0032245C" w:rsidP="0032245C">
      <w:pPr>
        <w:tabs>
          <w:tab w:val="left" w:pos="1276"/>
        </w:tabs>
        <w:ind w:left="1276" w:hanging="1276"/>
        <w:jc w:val="both"/>
        <w:rPr>
          <w:b/>
          <w:lang w:val="en-US"/>
        </w:rPr>
      </w:pPr>
      <w:r w:rsidRPr="00993512">
        <w:rPr>
          <w:b/>
        </w:rPr>
        <w:t xml:space="preserve">Proposal </w:t>
      </w:r>
      <w:r w:rsidR="00544F3B">
        <w:rPr>
          <w:b/>
        </w:rPr>
        <w:t>2</w:t>
      </w:r>
      <w:r w:rsidRPr="00993512">
        <w:rPr>
          <w:b/>
        </w:rPr>
        <w:t>:</w:t>
      </w:r>
      <w:r w:rsidRPr="00993512">
        <w:rPr>
          <w:b/>
        </w:rPr>
        <w:tab/>
      </w:r>
      <w:r w:rsidR="007D4648">
        <w:rPr>
          <w:b/>
        </w:rPr>
        <w:t xml:space="preserve">Add the following </w:t>
      </w:r>
      <w:r w:rsidR="00C87B1F">
        <w:rPr>
          <w:b/>
        </w:rPr>
        <w:t xml:space="preserve">clarification to NR CA applicability rules: </w:t>
      </w:r>
      <w:r w:rsidR="00E70629">
        <w:rPr>
          <w:b/>
          <w:lang w:val="en-US"/>
        </w:rPr>
        <w:t xml:space="preserve">“Verify </w:t>
      </w:r>
      <w:r w:rsidR="009F0012">
        <w:rPr>
          <w:b/>
          <w:lang w:val="en-US"/>
        </w:rPr>
        <w:t>UEs only on CCs</w:t>
      </w:r>
      <w:r w:rsidR="00510ACD" w:rsidRPr="00510ACD">
        <w:rPr>
          <w:b/>
          <w:lang w:val="en-US"/>
        </w:rPr>
        <w:t>, for which the supported maximum number of MIMO layers is not lower than 2.</w:t>
      </w:r>
      <w:r w:rsidR="00510ACD">
        <w:rPr>
          <w:b/>
          <w:lang w:val="en-US"/>
        </w:rPr>
        <w:t xml:space="preserve"> </w:t>
      </w:r>
      <w:r w:rsidR="00325E00">
        <w:rPr>
          <w:b/>
          <w:lang w:val="en-US"/>
        </w:rPr>
        <w:t>OCNG</w:t>
      </w:r>
      <w:r w:rsidR="00782AB8">
        <w:rPr>
          <w:b/>
          <w:lang w:val="en-US"/>
        </w:rPr>
        <w:t xml:space="preserve"> pattern</w:t>
      </w:r>
      <w:r w:rsidR="00325E00">
        <w:rPr>
          <w:b/>
          <w:lang w:val="en-US"/>
        </w:rPr>
        <w:t xml:space="preserve"> is </w:t>
      </w:r>
      <w:r w:rsidR="00782AB8">
        <w:rPr>
          <w:b/>
          <w:lang w:val="en-US"/>
        </w:rPr>
        <w:t>used for CCs</w:t>
      </w:r>
      <w:r w:rsidR="00782AB8" w:rsidRPr="00510ACD">
        <w:rPr>
          <w:b/>
          <w:lang w:val="en-US"/>
        </w:rPr>
        <w:t>, for which the supported maximum number of MIMO layers is</w:t>
      </w:r>
      <w:r w:rsidR="00782AB8">
        <w:rPr>
          <w:b/>
          <w:lang w:val="en-US"/>
        </w:rPr>
        <w:t xml:space="preserve"> 1, and </w:t>
      </w:r>
      <w:r w:rsidR="00544F3B">
        <w:rPr>
          <w:b/>
          <w:lang w:val="en-US"/>
        </w:rPr>
        <w:t>performance is not verified on these CCs</w:t>
      </w:r>
      <w:r w:rsidR="00E70629">
        <w:rPr>
          <w:b/>
          <w:lang w:val="en-US"/>
        </w:rPr>
        <w:t>”</w:t>
      </w:r>
      <w:r w:rsidR="00544F3B">
        <w:rPr>
          <w:b/>
          <w:lang w:val="en-US"/>
        </w:rPr>
        <w:t>.</w:t>
      </w:r>
    </w:p>
    <w:p w14:paraId="2B2A7A39" w14:textId="77777777" w:rsidR="000D4B18" w:rsidRPr="00146B4F" w:rsidRDefault="000D4B18" w:rsidP="00887301">
      <w:pPr>
        <w:pStyle w:val="Heading1"/>
      </w:pPr>
      <w:r w:rsidRPr="00146B4F">
        <w:t>Conclusion</w:t>
      </w:r>
    </w:p>
    <w:p w14:paraId="17C2F798" w14:textId="0CC04D6E" w:rsidR="002B4C37" w:rsidRDefault="008F0FEC" w:rsidP="001B32E7">
      <w:pPr>
        <w:tabs>
          <w:tab w:val="left" w:pos="709"/>
        </w:tabs>
        <w:spacing w:before="60" w:after="60"/>
        <w:jc w:val="both"/>
      </w:pPr>
      <w:r>
        <w:t xml:space="preserve">In this paper we provided view on test methodology for </w:t>
      </w:r>
      <w:r w:rsidRPr="0083081A">
        <w:t>NR CA PDSCH normal demodulation requirements</w:t>
      </w:r>
      <w:r>
        <w:t xml:space="preserve"> and made the following proposals:</w:t>
      </w:r>
    </w:p>
    <w:p w14:paraId="01A5CDB4" w14:textId="2C5A2540" w:rsidR="00544F3B" w:rsidRDefault="00544F3B" w:rsidP="00544F3B">
      <w:pPr>
        <w:tabs>
          <w:tab w:val="left" w:pos="1276"/>
        </w:tabs>
        <w:ind w:left="1276" w:hanging="1276"/>
        <w:jc w:val="both"/>
        <w:rPr>
          <w:b/>
        </w:rPr>
      </w:pPr>
      <w:r w:rsidRPr="00993512">
        <w:rPr>
          <w:b/>
        </w:rPr>
        <w:t>Proposal 1:</w:t>
      </w:r>
      <w:r w:rsidRPr="00993512">
        <w:rPr>
          <w:b/>
        </w:rPr>
        <w:tab/>
      </w:r>
      <w:r>
        <w:rPr>
          <w:b/>
        </w:rPr>
        <w:t xml:space="preserve">Reuse LTE applicability rule </w:t>
      </w:r>
      <w:r w:rsidRPr="00DE3422">
        <w:rPr>
          <w:b/>
        </w:rPr>
        <w:t>and antenna connection</w:t>
      </w:r>
      <w:r>
        <w:rPr>
          <w:b/>
        </w:rPr>
        <w:t xml:space="preserve"> approach defined in </w:t>
      </w:r>
      <w:r w:rsidRPr="008F4080">
        <w:rPr>
          <w:b/>
        </w:rPr>
        <w:t>8.1.2.6.5</w:t>
      </w:r>
      <w:r>
        <w:rPr>
          <w:b/>
        </w:rPr>
        <w:t xml:space="preserve"> of 36.101</w:t>
      </w:r>
      <w:r w:rsidRPr="00DE3422">
        <w:rPr>
          <w:b/>
        </w:rPr>
        <w:t xml:space="preserve"> for </w:t>
      </w:r>
      <w:r>
        <w:rPr>
          <w:b/>
        </w:rPr>
        <w:t xml:space="preserve">NR CA </w:t>
      </w:r>
      <w:r w:rsidRPr="00DE3422">
        <w:rPr>
          <w:b/>
        </w:rPr>
        <w:t>test</w:t>
      </w:r>
      <w:r>
        <w:rPr>
          <w:b/>
        </w:rPr>
        <w:t>ing of 4 Rx capable UEs.</w:t>
      </w:r>
    </w:p>
    <w:p w14:paraId="2DE7834D" w14:textId="77777777" w:rsidR="00544F3B" w:rsidRPr="00E70629" w:rsidRDefault="00544F3B" w:rsidP="00544F3B">
      <w:pPr>
        <w:tabs>
          <w:tab w:val="left" w:pos="1276"/>
        </w:tabs>
        <w:ind w:left="1276" w:hanging="1276"/>
        <w:jc w:val="both"/>
        <w:rPr>
          <w:b/>
          <w:lang w:val="en-US"/>
        </w:rPr>
      </w:pPr>
      <w:r w:rsidRPr="00993512">
        <w:rPr>
          <w:b/>
        </w:rPr>
        <w:t xml:space="preserve">Proposal </w:t>
      </w:r>
      <w:r>
        <w:rPr>
          <w:b/>
        </w:rPr>
        <w:t>2</w:t>
      </w:r>
      <w:r w:rsidRPr="00993512">
        <w:rPr>
          <w:b/>
        </w:rPr>
        <w:t>:</w:t>
      </w:r>
      <w:r w:rsidRPr="00993512">
        <w:rPr>
          <w:b/>
        </w:rPr>
        <w:tab/>
      </w:r>
      <w:r>
        <w:rPr>
          <w:b/>
        </w:rPr>
        <w:t xml:space="preserve">Add the following clarification to NR CA applicability rules: </w:t>
      </w:r>
      <w:r>
        <w:rPr>
          <w:b/>
          <w:lang w:val="en-US"/>
        </w:rPr>
        <w:t>“Verify UEs only on CCs</w:t>
      </w:r>
      <w:r w:rsidRPr="00510ACD">
        <w:rPr>
          <w:b/>
          <w:lang w:val="en-US"/>
        </w:rPr>
        <w:t>, for which the supported maximum number of MIMO layers is not lower than 2.</w:t>
      </w:r>
      <w:r>
        <w:rPr>
          <w:b/>
          <w:lang w:val="en-US"/>
        </w:rPr>
        <w:t xml:space="preserve"> OCNG pattern is used for CCs</w:t>
      </w:r>
      <w:r w:rsidRPr="00510ACD">
        <w:rPr>
          <w:b/>
          <w:lang w:val="en-US"/>
        </w:rPr>
        <w:t>, for which the supported maximum number of MIMO layers is</w:t>
      </w:r>
      <w:r>
        <w:rPr>
          <w:b/>
          <w:lang w:val="en-US"/>
        </w:rPr>
        <w:t xml:space="preserve"> 1, and performance is not verified on these CCs”.</w:t>
      </w:r>
    </w:p>
    <w:p w14:paraId="071E4E01" w14:textId="77777777" w:rsidR="001E216A" w:rsidRPr="00146B4F" w:rsidRDefault="001E216A" w:rsidP="00887301">
      <w:pPr>
        <w:pStyle w:val="Heading1"/>
      </w:pPr>
      <w:r w:rsidRPr="00146B4F">
        <w:t>References</w:t>
      </w:r>
    </w:p>
    <w:p w14:paraId="5DC27392" w14:textId="40CB957D" w:rsidR="009C56E7" w:rsidRDefault="00A90590" w:rsidP="006B1A24">
      <w:pPr>
        <w:widowControl w:val="0"/>
        <w:numPr>
          <w:ilvl w:val="0"/>
          <w:numId w:val="2"/>
        </w:numPr>
        <w:overflowPunct/>
        <w:autoSpaceDE/>
        <w:autoSpaceDN/>
        <w:adjustRightInd/>
        <w:jc w:val="both"/>
        <w:textAlignment w:val="auto"/>
      </w:pPr>
      <w:bookmarkStart w:id="4" w:name="_Ref39839544"/>
      <w:bookmarkStart w:id="5" w:name="_Ref31892213"/>
      <w:bookmarkStart w:id="6" w:name="_Ref12973084"/>
      <w:r w:rsidRPr="00A90590">
        <w:t>R4-2017561</w:t>
      </w:r>
      <w:r>
        <w:t xml:space="preserve"> “</w:t>
      </w:r>
      <w:r w:rsidRPr="00B827F1">
        <w:t>Way forward on PDSCH CA normal demodulation requirements</w:t>
      </w:r>
      <w:r>
        <w:t>”, Intel, RAN4 #97-e, November 2020.</w:t>
      </w:r>
      <w:bookmarkEnd w:id="4"/>
      <w:bookmarkEnd w:id="5"/>
      <w:bookmarkEnd w:id="6"/>
    </w:p>
    <w:sectPr w:rsidR="009C56E7"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E8675" w14:textId="77777777" w:rsidR="00965F0E" w:rsidRDefault="00965F0E">
      <w:r>
        <w:separator/>
      </w:r>
    </w:p>
  </w:endnote>
  <w:endnote w:type="continuationSeparator" w:id="0">
    <w:p w14:paraId="7A1F8A06" w14:textId="77777777" w:rsidR="00965F0E" w:rsidRDefault="00965F0E">
      <w:r>
        <w:continuationSeparator/>
      </w:r>
    </w:p>
  </w:endnote>
  <w:endnote w:type="continuationNotice" w:id="1">
    <w:p w14:paraId="21A7F12D" w14:textId="77777777" w:rsidR="00965F0E" w:rsidRDefault="00965F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27B00A"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F550"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692752" w:rsidRDefault="00692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3DE74" w14:textId="77777777" w:rsidR="00965F0E" w:rsidRDefault="00965F0E">
      <w:r>
        <w:separator/>
      </w:r>
    </w:p>
  </w:footnote>
  <w:footnote w:type="continuationSeparator" w:id="0">
    <w:p w14:paraId="0A0F6C2D" w14:textId="77777777" w:rsidR="00965F0E" w:rsidRDefault="00965F0E">
      <w:r>
        <w:continuationSeparator/>
      </w:r>
    </w:p>
  </w:footnote>
  <w:footnote w:type="continuationNotice" w:id="1">
    <w:p w14:paraId="2EF47F2E" w14:textId="77777777" w:rsidR="00965F0E" w:rsidRDefault="00965F0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692752" w:rsidRDefault="00692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818" w14:textId="77777777" w:rsidR="00692752" w:rsidRDefault="00692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653E37"/>
    <w:multiLevelType w:val="hybridMultilevel"/>
    <w:tmpl w:val="0B889C76"/>
    <w:lvl w:ilvl="0" w:tplc="04C2DD26">
      <w:start w:val="1"/>
      <w:numFmt w:val="bullet"/>
      <w:lvlText w:val="•"/>
      <w:lvlJc w:val="left"/>
      <w:pPr>
        <w:tabs>
          <w:tab w:val="num" w:pos="720"/>
        </w:tabs>
        <w:ind w:left="720" w:hanging="360"/>
      </w:pPr>
      <w:rPr>
        <w:rFonts w:ascii="Arial" w:hAnsi="Arial" w:hint="default"/>
      </w:rPr>
    </w:lvl>
    <w:lvl w:ilvl="1" w:tplc="AFC0FED8">
      <w:numFmt w:val="bullet"/>
      <w:lvlText w:val="–"/>
      <w:lvlJc w:val="left"/>
      <w:pPr>
        <w:tabs>
          <w:tab w:val="num" w:pos="1440"/>
        </w:tabs>
        <w:ind w:left="1440" w:hanging="360"/>
      </w:pPr>
      <w:rPr>
        <w:rFonts w:ascii="Arial" w:hAnsi="Arial" w:hint="default"/>
      </w:rPr>
    </w:lvl>
    <w:lvl w:ilvl="2" w:tplc="47C49AE0">
      <w:numFmt w:val="bullet"/>
      <w:lvlText w:val="•"/>
      <w:lvlJc w:val="left"/>
      <w:pPr>
        <w:tabs>
          <w:tab w:val="num" w:pos="2160"/>
        </w:tabs>
        <w:ind w:left="2160" w:hanging="360"/>
      </w:pPr>
      <w:rPr>
        <w:rFonts w:ascii="Arial" w:hAnsi="Arial" w:hint="default"/>
      </w:rPr>
    </w:lvl>
    <w:lvl w:ilvl="3" w:tplc="27765150">
      <w:start w:val="1"/>
      <w:numFmt w:val="bullet"/>
      <w:lvlText w:val="•"/>
      <w:lvlJc w:val="left"/>
      <w:pPr>
        <w:tabs>
          <w:tab w:val="num" w:pos="2880"/>
        </w:tabs>
        <w:ind w:left="2880" w:hanging="360"/>
      </w:pPr>
      <w:rPr>
        <w:rFonts w:ascii="Arial" w:hAnsi="Arial" w:hint="default"/>
      </w:rPr>
    </w:lvl>
    <w:lvl w:ilvl="4" w:tplc="D64E1160" w:tentative="1">
      <w:start w:val="1"/>
      <w:numFmt w:val="bullet"/>
      <w:lvlText w:val="•"/>
      <w:lvlJc w:val="left"/>
      <w:pPr>
        <w:tabs>
          <w:tab w:val="num" w:pos="3600"/>
        </w:tabs>
        <w:ind w:left="3600" w:hanging="360"/>
      </w:pPr>
      <w:rPr>
        <w:rFonts w:ascii="Arial" w:hAnsi="Arial" w:hint="default"/>
      </w:rPr>
    </w:lvl>
    <w:lvl w:ilvl="5" w:tplc="0A3AC678" w:tentative="1">
      <w:start w:val="1"/>
      <w:numFmt w:val="bullet"/>
      <w:lvlText w:val="•"/>
      <w:lvlJc w:val="left"/>
      <w:pPr>
        <w:tabs>
          <w:tab w:val="num" w:pos="4320"/>
        </w:tabs>
        <w:ind w:left="4320" w:hanging="360"/>
      </w:pPr>
      <w:rPr>
        <w:rFonts w:ascii="Arial" w:hAnsi="Arial" w:hint="default"/>
      </w:rPr>
    </w:lvl>
    <w:lvl w:ilvl="6" w:tplc="8E12D2B0" w:tentative="1">
      <w:start w:val="1"/>
      <w:numFmt w:val="bullet"/>
      <w:lvlText w:val="•"/>
      <w:lvlJc w:val="left"/>
      <w:pPr>
        <w:tabs>
          <w:tab w:val="num" w:pos="5040"/>
        </w:tabs>
        <w:ind w:left="5040" w:hanging="360"/>
      </w:pPr>
      <w:rPr>
        <w:rFonts w:ascii="Arial" w:hAnsi="Arial" w:hint="default"/>
      </w:rPr>
    </w:lvl>
    <w:lvl w:ilvl="7" w:tplc="3538F388" w:tentative="1">
      <w:start w:val="1"/>
      <w:numFmt w:val="bullet"/>
      <w:lvlText w:val="•"/>
      <w:lvlJc w:val="left"/>
      <w:pPr>
        <w:tabs>
          <w:tab w:val="num" w:pos="5760"/>
        </w:tabs>
        <w:ind w:left="5760" w:hanging="360"/>
      </w:pPr>
      <w:rPr>
        <w:rFonts w:ascii="Arial" w:hAnsi="Arial" w:hint="default"/>
      </w:rPr>
    </w:lvl>
    <w:lvl w:ilvl="8" w:tplc="54F4B0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2DB3344"/>
    <w:multiLevelType w:val="hybridMultilevel"/>
    <w:tmpl w:val="F0E6312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13"/>
  </w:num>
  <w:num w:numId="6">
    <w:abstractNumId w:val="2"/>
  </w:num>
  <w:num w:numId="7">
    <w:abstractNumId w:val="7"/>
  </w:num>
  <w:num w:numId="8">
    <w:abstractNumId w:val="10"/>
  </w:num>
  <w:num w:numId="9">
    <w:abstractNumId w:val="12"/>
  </w:num>
  <w:num w:numId="10">
    <w:abstractNumId w:val="11"/>
  </w:num>
  <w:num w:numId="11">
    <w:abstractNumId w:val="8"/>
  </w:num>
  <w:num w:numId="12">
    <w:abstractNumId w:val="8"/>
  </w:num>
  <w:num w:numId="13">
    <w:abstractNumId w:val="8"/>
  </w:num>
  <w:num w:numId="14">
    <w:abstractNumId w:val="9"/>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8FC"/>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53B"/>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47DB7"/>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9F"/>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1FC6"/>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39AD"/>
    <w:rsid w:val="00074375"/>
    <w:rsid w:val="000743A0"/>
    <w:rsid w:val="0007489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928"/>
    <w:rsid w:val="000A6AC6"/>
    <w:rsid w:val="000A6CFE"/>
    <w:rsid w:val="000A6EAA"/>
    <w:rsid w:val="000A73AE"/>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1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058"/>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3BD"/>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D37"/>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D12"/>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068"/>
    <w:rsid w:val="001454C4"/>
    <w:rsid w:val="00145D1E"/>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2DD8"/>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2F6E"/>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D40"/>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46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029"/>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2A7"/>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5C4"/>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E9F"/>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64C"/>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3BC"/>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D0B"/>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0DD"/>
    <w:rsid w:val="002B5976"/>
    <w:rsid w:val="002B5A52"/>
    <w:rsid w:val="002B6397"/>
    <w:rsid w:val="002B64FE"/>
    <w:rsid w:val="002B651D"/>
    <w:rsid w:val="002B6890"/>
    <w:rsid w:val="002B694E"/>
    <w:rsid w:val="002B6C2C"/>
    <w:rsid w:val="002B7095"/>
    <w:rsid w:val="002B7546"/>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5C4"/>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D7DE1"/>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45C"/>
    <w:rsid w:val="00322722"/>
    <w:rsid w:val="00322929"/>
    <w:rsid w:val="00322A6A"/>
    <w:rsid w:val="00322BC3"/>
    <w:rsid w:val="00322E3B"/>
    <w:rsid w:val="00323FAD"/>
    <w:rsid w:val="003242C1"/>
    <w:rsid w:val="00324731"/>
    <w:rsid w:val="003249F8"/>
    <w:rsid w:val="00324F6C"/>
    <w:rsid w:val="00325C1C"/>
    <w:rsid w:val="00325C6E"/>
    <w:rsid w:val="00325E00"/>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01"/>
    <w:rsid w:val="003438EB"/>
    <w:rsid w:val="00343C24"/>
    <w:rsid w:val="00343DA5"/>
    <w:rsid w:val="00344725"/>
    <w:rsid w:val="00344CAE"/>
    <w:rsid w:val="0034511B"/>
    <w:rsid w:val="00345127"/>
    <w:rsid w:val="00345243"/>
    <w:rsid w:val="003454A2"/>
    <w:rsid w:val="00345D23"/>
    <w:rsid w:val="00345F46"/>
    <w:rsid w:val="003460F4"/>
    <w:rsid w:val="003460F6"/>
    <w:rsid w:val="003464FC"/>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18"/>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3A"/>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7B4"/>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BFE"/>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7DC"/>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965"/>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26"/>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5D85"/>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AD5"/>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ACD"/>
    <w:rsid w:val="00510B25"/>
    <w:rsid w:val="0051179B"/>
    <w:rsid w:val="00511E67"/>
    <w:rsid w:val="00511FB2"/>
    <w:rsid w:val="00512747"/>
    <w:rsid w:val="00512B8F"/>
    <w:rsid w:val="00512E1C"/>
    <w:rsid w:val="005136B4"/>
    <w:rsid w:val="00513F8F"/>
    <w:rsid w:val="00514198"/>
    <w:rsid w:val="00514455"/>
    <w:rsid w:val="005147E7"/>
    <w:rsid w:val="00514882"/>
    <w:rsid w:val="005149A2"/>
    <w:rsid w:val="00514A5B"/>
    <w:rsid w:val="00514CEE"/>
    <w:rsid w:val="005150A0"/>
    <w:rsid w:val="005150E4"/>
    <w:rsid w:val="00515381"/>
    <w:rsid w:val="00515907"/>
    <w:rsid w:val="00515E2B"/>
    <w:rsid w:val="0051646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648"/>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B1F"/>
    <w:rsid w:val="00544C33"/>
    <w:rsid w:val="00544F3B"/>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4AD"/>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146"/>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B3"/>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6F0"/>
    <w:rsid w:val="005C2D85"/>
    <w:rsid w:val="005C376D"/>
    <w:rsid w:val="005C3A65"/>
    <w:rsid w:val="005C3CDF"/>
    <w:rsid w:val="005C44FE"/>
    <w:rsid w:val="005C4752"/>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AD7"/>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1C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FC"/>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44A"/>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04D"/>
    <w:rsid w:val="0062155F"/>
    <w:rsid w:val="00621A9A"/>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36"/>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1EE2"/>
    <w:rsid w:val="00692250"/>
    <w:rsid w:val="00692602"/>
    <w:rsid w:val="0069275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0C4A"/>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A24"/>
    <w:rsid w:val="006B1DA2"/>
    <w:rsid w:val="006B1F5F"/>
    <w:rsid w:val="006B20F8"/>
    <w:rsid w:val="006B21E9"/>
    <w:rsid w:val="006B242D"/>
    <w:rsid w:val="006B2790"/>
    <w:rsid w:val="006B393F"/>
    <w:rsid w:val="006B3E55"/>
    <w:rsid w:val="006B4566"/>
    <w:rsid w:val="006B460F"/>
    <w:rsid w:val="006B4B53"/>
    <w:rsid w:val="006B4D4E"/>
    <w:rsid w:val="006B5111"/>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5C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0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AD4"/>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179"/>
    <w:rsid w:val="00782266"/>
    <w:rsid w:val="007822AB"/>
    <w:rsid w:val="0078243D"/>
    <w:rsid w:val="00782AB8"/>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45"/>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4B9"/>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3B9B"/>
    <w:rsid w:val="007D3E00"/>
    <w:rsid w:val="007D4093"/>
    <w:rsid w:val="007D4648"/>
    <w:rsid w:val="007D48B7"/>
    <w:rsid w:val="007D4EA2"/>
    <w:rsid w:val="007D4FF2"/>
    <w:rsid w:val="007D512C"/>
    <w:rsid w:val="007D526F"/>
    <w:rsid w:val="007D6310"/>
    <w:rsid w:val="007D647B"/>
    <w:rsid w:val="007D654A"/>
    <w:rsid w:val="007D66D7"/>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CA3"/>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0C"/>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C18"/>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FD"/>
    <w:rsid w:val="00883004"/>
    <w:rsid w:val="00883D18"/>
    <w:rsid w:val="00883D70"/>
    <w:rsid w:val="00883ED6"/>
    <w:rsid w:val="00883F8F"/>
    <w:rsid w:val="008841D5"/>
    <w:rsid w:val="00884255"/>
    <w:rsid w:val="0088425B"/>
    <w:rsid w:val="00884712"/>
    <w:rsid w:val="00885037"/>
    <w:rsid w:val="0088579F"/>
    <w:rsid w:val="0088599D"/>
    <w:rsid w:val="00885C56"/>
    <w:rsid w:val="00885D5D"/>
    <w:rsid w:val="00885F46"/>
    <w:rsid w:val="00886116"/>
    <w:rsid w:val="0088651F"/>
    <w:rsid w:val="00887184"/>
    <w:rsid w:val="008871EA"/>
    <w:rsid w:val="00887301"/>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080"/>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079B8"/>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6CC"/>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18"/>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430"/>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5AF"/>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AF0"/>
    <w:rsid w:val="00965F0E"/>
    <w:rsid w:val="0096606A"/>
    <w:rsid w:val="0096691D"/>
    <w:rsid w:val="00966EC4"/>
    <w:rsid w:val="009675C0"/>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0D8"/>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512"/>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431"/>
    <w:rsid w:val="009D2C43"/>
    <w:rsid w:val="009D327E"/>
    <w:rsid w:val="009D3341"/>
    <w:rsid w:val="009D3CC0"/>
    <w:rsid w:val="009D3D45"/>
    <w:rsid w:val="009D422C"/>
    <w:rsid w:val="009D4303"/>
    <w:rsid w:val="009D478C"/>
    <w:rsid w:val="009D49A4"/>
    <w:rsid w:val="009D4A8E"/>
    <w:rsid w:val="009D4B2A"/>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D17"/>
    <w:rsid w:val="009E2F97"/>
    <w:rsid w:val="009E3235"/>
    <w:rsid w:val="009E3790"/>
    <w:rsid w:val="009E438D"/>
    <w:rsid w:val="009E457F"/>
    <w:rsid w:val="009E46E2"/>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012"/>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CF3"/>
    <w:rsid w:val="00A0335A"/>
    <w:rsid w:val="00A03893"/>
    <w:rsid w:val="00A0394B"/>
    <w:rsid w:val="00A03CC8"/>
    <w:rsid w:val="00A0404C"/>
    <w:rsid w:val="00A044F4"/>
    <w:rsid w:val="00A04541"/>
    <w:rsid w:val="00A04846"/>
    <w:rsid w:val="00A04A92"/>
    <w:rsid w:val="00A0519C"/>
    <w:rsid w:val="00A0559E"/>
    <w:rsid w:val="00A05A1F"/>
    <w:rsid w:val="00A05BA9"/>
    <w:rsid w:val="00A05C2C"/>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0FD8"/>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45"/>
    <w:rsid w:val="00A13CD6"/>
    <w:rsid w:val="00A13CF1"/>
    <w:rsid w:val="00A13D0E"/>
    <w:rsid w:val="00A13E59"/>
    <w:rsid w:val="00A145D0"/>
    <w:rsid w:val="00A145FA"/>
    <w:rsid w:val="00A14743"/>
    <w:rsid w:val="00A14B5D"/>
    <w:rsid w:val="00A152F7"/>
    <w:rsid w:val="00A15521"/>
    <w:rsid w:val="00A155A9"/>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6EC4"/>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76D"/>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82"/>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90"/>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EFA"/>
    <w:rsid w:val="00A9505F"/>
    <w:rsid w:val="00A9526D"/>
    <w:rsid w:val="00A9580B"/>
    <w:rsid w:val="00A95A3E"/>
    <w:rsid w:val="00A95CB8"/>
    <w:rsid w:val="00A95DBB"/>
    <w:rsid w:val="00A96058"/>
    <w:rsid w:val="00A96801"/>
    <w:rsid w:val="00A9692B"/>
    <w:rsid w:val="00A96D7E"/>
    <w:rsid w:val="00A9727C"/>
    <w:rsid w:val="00A973D1"/>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733"/>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A13"/>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1D1"/>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2D3"/>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DA1"/>
    <w:rsid w:val="00B25E1D"/>
    <w:rsid w:val="00B25F9A"/>
    <w:rsid w:val="00B2609F"/>
    <w:rsid w:val="00B2613A"/>
    <w:rsid w:val="00B263A7"/>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3D43"/>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0B"/>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9A"/>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9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A31"/>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7AA"/>
    <w:rsid w:val="00B90DC8"/>
    <w:rsid w:val="00B91356"/>
    <w:rsid w:val="00B919B6"/>
    <w:rsid w:val="00B91E0F"/>
    <w:rsid w:val="00B91ED4"/>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58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D6E"/>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9F"/>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0D1"/>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89E"/>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052"/>
    <w:rsid w:val="00C531B4"/>
    <w:rsid w:val="00C532F9"/>
    <w:rsid w:val="00C5393D"/>
    <w:rsid w:val="00C53E22"/>
    <w:rsid w:val="00C544DE"/>
    <w:rsid w:val="00C54757"/>
    <w:rsid w:val="00C54C62"/>
    <w:rsid w:val="00C5553D"/>
    <w:rsid w:val="00C55ADC"/>
    <w:rsid w:val="00C55B02"/>
    <w:rsid w:val="00C560FE"/>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597"/>
    <w:rsid w:val="00C8781D"/>
    <w:rsid w:val="00C87B1F"/>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E36"/>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4FBE"/>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B7F77"/>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1FE0"/>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198E"/>
    <w:rsid w:val="00D2207C"/>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980"/>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D26"/>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AFE"/>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AED"/>
    <w:rsid w:val="00D93D5E"/>
    <w:rsid w:val="00D94821"/>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B61"/>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422"/>
    <w:rsid w:val="00DE38C2"/>
    <w:rsid w:val="00DE3915"/>
    <w:rsid w:val="00DE3DC5"/>
    <w:rsid w:val="00DE3E7C"/>
    <w:rsid w:val="00DE3F63"/>
    <w:rsid w:val="00DE464E"/>
    <w:rsid w:val="00DE4664"/>
    <w:rsid w:val="00DE47CE"/>
    <w:rsid w:val="00DE480D"/>
    <w:rsid w:val="00DE4B0C"/>
    <w:rsid w:val="00DE4D74"/>
    <w:rsid w:val="00DE516B"/>
    <w:rsid w:val="00DE53E4"/>
    <w:rsid w:val="00DE5BDF"/>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137"/>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5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59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629"/>
    <w:rsid w:val="00E70B0C"/>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10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C3C"/>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6FB"/>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967"/>
    <w:rsid w:val="00EC1B6D"/>
    <w:rsid w:val="00EC1D83"/>
    <w:rsid w:val="00EC1E45"/>
    <w:rsid w:val="00EC2E21"/>
    <w:rsid w:val="00EC331F"/>
    <w:rsid w:val="00EC3529"/>
    <w:rsid w:val="00EC353C"/>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2B"/>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1A3"/>
    <w:rsid w:val="00F1162A"/>
    <w:rsid w:val="00F1165E"/>
    <w:rsid w:val="00F11CF5"/>
    <w:rsid w:val="00F124CB"/>
    <w:rsid w:val="00F12B3D"/>
    <w:rsid w:val="00F12D63"/>
    <w:rsid w:val="00F1403E"/>
    <w:rsid w:val="00F1415B"/>
    <w:rsid w:val="00F1476B"/>
    <w:rsid w:val="00F149F8"/>
    <w:rsid w:val="00F14FB8"/>
    <w:rsid w:val="00F155B5"/>
    <w:rsid w:val="00F15860"/>
    <w:rsid w:val="00F165EA"/>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71"/>
    <w:rsid w:val="00F27ED0"/>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0D5E"/>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5D49"/>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B"/>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D9"/>
    <w:rsid w:val="00FC7554"/>
    <w:rsid w:val="00FC76A7"/>
    <w:rsid w:val="00FC7896"/>
    <w:rsid w:val="00FC7F93"/>
    <w:rsid w:val="00FC7FBF"/>
    <w:rsid w:val="00FD091C"/>
    <w:rsid w:val="00FD10D2"/>
    <w:rsid w:val="00FD111E"/>
    <w:rsid w:val="00FD14CB"/>
    <w:rsid w:val="00FD14E4"/>
    <w:rsid w:val="00FD15F2"/>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1BFCDBA"/>
    <w:rsid w:val="19C22792"/>
    <w:rsid w:val="328C0538"/>
    <w:rsid w:val="34195D49"/>
    <w:rsid w:val="4081C218"/>
    <w:rsid w:val="6157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AE6A3"/>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4AD"/>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11"/>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762421">
      <w:bodyDiv w:val="1"/>
      <w:marLeft w:val="0"/>
      <w:marRight w:val="0"/>
      <w:marTop w:val="0"/>
      <w:marBottom w:val="0"/>
      <w:divBdr>
        <w:top w:val="none" w:sz="0" w:space="0" w:color="auto"/>
        <w:left w:val="none" w:sz="0" w:space="0" w:color="auto"/>
        <w:bottom w:val="none" w:sz="0" w:space="0" w:color="auto"/>
        <w:right w:val="none" w:sz="0" w:space="0" w:color="auto"/>
      </w:divBdr>
      <w:divsChild>
        <w:div w:id="934558905">
          <w:marLeft w:val="1166"/>
          <w:marRight w:val="0"/>
          <w:marTop w:val="77"/>
          <w:marBottom w:val="0"/>
          <w:divBdr>
            <w:top w:val="none" w:sz="0" w:space="0" w:color="auto"/>
            <w:left w:val="none" w:sz="0" w:space="0" w:color="auto"/>
            <w:bottom w:val="none" w:sz="0" w:space="0" w:color="auto"/>
            <w:right w:val="none" w:sz="0" w:space="0" w:color="auto"/>
          </w:divBdr>
        </w:div>
        <w:div w:id="100925798">
          <w:marLeft w:val="1800"/>
          <w:marRight w:val="0"/>
          <w:marTop w:val="67"/>
          <w:marBottom w:val="0"/>
          <w:divBdr>
            <w:top w:val="none" w:sz="0" w:space="0" w:color="auto"/>
            <w:left w:val="none" w:sz="0" w:space="0" w:color="auto"/>
            <w:bottom w:val="none" w:sz="0" w:space="0" w:color="auto"/>
            <w:right w:val="none" w:sz="0" w:space="0" w:color="auto"/>
          </w:divBdr>
        </w:div>
        <w:div w:id="1678653723">
          <w:marLeft w:val="1800"/>
          <w:marRight w:val="0"/>
          <w:marTop w:val="67"/>
          <w:marBottom w:val="0"/>
          <w:divBdr>
            <w:top w:val="none" w:sz="0" w:space="0" w:color="auto"/>
            <w:left w:val="none" w:sz="0" w:space="0" w:color="auto"/>
            <w:bottom w:val="none" w:sz="0" w:space="0" w:color="auto"/>
            <w:right w:val="none" w:sz="0" w:space="0" w:color="auto"/>
          </w:divBdr>
        </w:div>
        <w:div w:id="235865662">
          <w:marLeft w:val="1800"/>
          <w:marRight w:val="0"/>
          <w:marTop w:val="67"/>
          <w:marBottom w:val="0"/>
          <w:divBdr>
            <w:top w:val="none" w:sz="0" w:space="0" w:color="auto"/>
            <w:left w:val="none" w:sz="0" w:space="0" w:color="auto"/>
            <w:bottom w:val="none" w:sz="0" w:space="0" w:color="auto"/>
            <w:right w:val="none" w:sz="0" w:space="0" w:color="auto"/>
          </w:divBdr>
        </w:div>
        <w:div w:id="1670793369">
          <w:marLeft w:val="1800"/>
          <w:marRight w:val="0"/>
          <w:marTop w:val="67"/>
          <w:marBottom w:val="0"/>
          <w:divBdr>
            <w:top w:val="none" w:sz="0" w:space="0" w:color="auto"/>
            <w:left w:val="none" w:sz="0" w:space="0" w:color="auto"/>
            <w:bottom w:val="none" w:sz="0" w:space="0" w:color="auto"/>
            <w:right w:val="none" w:sz="0" w:space="0" w:color="auto"/>
          </w:divBdr>
        </w:div>
        <w:div w:id="993332635">
          <w:marLeft w:val="1166"/>
          <w:marRight w:val="0"/>
          <w:marTop w:val="77"/>
          <w:marBottom w:val="0"/>
          <w:divBdr>
            <w:top w:val="none" w:sz="0" w:space="0" w:color="auto"/>
            <w:left w:val="none" w:sz="0" w:space="0" w:color="auto"/>
            <w:bottom w:val="none" w:sz="0" w:space="0" w:color="auto"/>
            <w:right w:val="none" w:sz="0" w:space="0" w:color="auto"/>
          </w:divBdr>
        </w:div>
        <w:div w:id="2055957293">
          <w:marLeft w:val="1800"/>
          <w:marRight w:val="0"/>
          <w:marTop w:val="67"/>
          <w:marBottom w:val="0"/>
          <w:divBdr>
            <w:top w:val="none" w:sz="0" w:space="0" w:color="auto"/>
            <w:left w:val="none" w:sz="0" w:space="0" w:color="auto"/>
            <w:bottom w:val="none" w:sz="0" w:space="0" w:color="auto"/>
            <w:right w:val="none" w:sz="0" w:space="0" w:color="auto"/>
          </w:divBdr>
        </w:div>
        <w:div w:id="718012789">
          <w:marLeft w:val="2520"/>
          <w:marRight w:val="0"/>
          <w:marTop w:val="58"/>
          <w:marBottom w:val="0"/>
          <w:divBdr>
            <w:top w:val="none" w:sz="0" w:space="0" w:color="auto"/>
            <w:left w:val="none" w:sz="0" w:space="0" w:color="auto"/>
            <w:bottom w:val="none" w:sz="0" w:space="0" w:color="auto"/>
            <w:right w:val="none" w:sz="0" w:space="0" w:color="auto"/>
          </w:divBdr>
        </w:div>
        <w:div w:id="679429502">
          <w:marLeft w:val="2520"/>
          <w:marRight w:val="0"/>
          <w:marTop w:val="58"/>
          <w:marBottom w:val="0"/>
          <w:divBdr>
            <w:top w:val="none" w:sz="0" w:space="0" w:color="auto"/>
            <w:left w:val="none" w:sz="0" w:space="0" w:color="auto"/>
            <w:bottom w:val="none" w:sz="0" w:space="0" w:color="auto"/>
            <w:right w:val="none" w:sz="0" w:space="0" w:color="auto"/>
          </w:divBdr>
        </w:div>
        <w:div w:id="242297262">
          <w:marLeft w:val="2520"/>
          <w:marRight w:val="0"/>
          <w:marTop w:val="58"/>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054549">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009131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4162785">
      <w:bodyDiv w:val="1"/>
      <w:marLeft w:val="0"/>
      <w:marRight w:val="0"/>
      <w:marTop w:val="0"/>
      <w:marBottom w:val="0"/>
      <w:divBdr>
        <w:top w:val="none" w:sz="0" w:space="0" w:color="auto"/>
        <w:left w:val="none" w:sz="0" w:space="0" w:color="auto"/>
        <w:bottom w:val="none" w:sz="0" w:space="0" w:color="auto"/>
        <w:right w:val="none" w:sz="0" w:space="0" w:color="auto"/>
      </w:divBdr>
      <w:divsChild>
        <w:div w:id="750741027">
          <w:marLeft w:val="1166"/>
          <w:marRight w:val="0"/>
          <w:marTop w:val="77"/>
          <w:marBottom w:val="0"/>
          <w:divBdr>
            <w:top w:val="none" w:sz="0" w:space="0" w:color="auto"/>
            <w:left w:val="none" w:sz="0" w:space="0" w:color="auto"/>
            <w:bottom w:val="none" w:sz="0" w:space="0" w:color="auto"/>
            <w:right w:val="none" w:sz="0" w:space="0" w:color="auto"/>
          </w:divBdr>
        </w:div>
        <w:div w:id="360402780">
          <w:marLeft w:val="1166"/>
          <w:marRight w:val="0"/>
          <w:marTop w:val="77"/>
          <w:marBottom w:val="0"/>
          <w:divBdr>
            <w:top w:val="none" w:sz="0" w:space="0" w:color="auto"/>
            <w:left w:val="none" w:sz="0" w:space="0" w:color="auto"/>
            <w:bottom w:val="none" w:sz="0" w:space="0" w:color="auto"/>
            <w:right w:val="none" w:sz="0" w:space="0" w:color="auto"/>
          </w:divBdr>
        </w:div>
        <w:div w:id="506754557">
          <w:marLeft w:val="1166"/>
          <w:marRight w:val="0"/>
          <w:marTop w:val="77"/>
          <w:marBottom w:val="0"/>
          <w:divBdr>
            <w:top w:val="none" w:sz="0" w:space="0" w:color="auto"/>
            <w:left w:val="none" w:sz="0" w:space="0" w:color="auto"/>
            <w:bottom w:val="none" w:sz="0" w:space="0" w:color="auto"/>
            <w:right w:val="none" w:sz="0" w:space="0" w:color="auto"/>
          </w:divBdr>
        </w:div>
        <w:div w:id="1911306309">
          <w:marLeft w:val="1800"/>
          <w:marRight w:val="0"/>
          <w:marTop w:val="67"/>
          <w:marBottom w:val="0"/>
          <w:divBdr>
            <w:top w:val="none" w:sz="0" w:space="0" w:color="auto"/>
            <w:left w:val="none" w:sz="0" w:space="0" w:color="auto"/>
            <w:bottom w:val="none" w:sz="0" w:space="0" w:color="auto"/>
            <w:right w:val="none" w:sz="0" w:space="0" w:color="auto"/>
          </w:divBdr>
        </w:div>
        <w:div w:id="155809676">
          <w:marLeft w:val="1800"/>
          <w:marRight w:val="0"/>
          <w:marTop w:val="67"/>
          <w:marBottom w:val="0"/>
          <w:divBdr>
            <w:top w:val="none" w:sz="0" w:space="0" w:color="auto"/>
            <w:left w:val="none" w:sz="0" w:space="0" w:color="auto"/>
            <w:bottom w:val="none" w:sz="0" w:space="0" w:color="auto"/>
            <w:right w:val="none" w:sz="0" w:space="0" w:color="auto"/>
          </w:divBdr>
        </w:div>
        <w:div w:id="1885218309">
          <w:marLeft w:val="2520"/>
          <w:marRight w:val="0"/>
          <w:marTop w:val="58"/>
          <w:marBottom w:val="0"/>
          <w:divBdr>
            <w:top w:val="none" w:sz="0" w:space="0" w:color="auto"/>
            <w:left w:val="none" w:sz="0" w:space="0" w:color="auto"/>
            <w:bottom w:val="none" w:sz="0" w:space="0" w:color="auto"/>
            <w:right w:val="none" w:sz="0" w:space="0" w:color="auto"/>
          </w:divBdr>
        </w:div>
        <w:div w:id="657077943">
          <w:marLeft w:val="2520"/>
          <w:marRight w:val="0"/>
          <w:marTop w:val="58"/>
          <w:marBottom w:val="0"/>
          <w:divBdr>
            <w:top w:val="none" w:sz="0" w:space="0" w:color="auto"/>
            <w:left w:val="none" w:sz="0" w:space="0" w:color="auto"/>
            <w:bottom w:val="none" w:sz="0" w:space="0" w:color="auto"/>
            <w:right w:val="none" w:sz="0" w:space="0" w:color="auto"/>
          </w:divBdr>
        </w:div>
        <w:div w:id="2114475789">
          <w:marLeft w:val="1166"/>
          <w:marRight w:val="0"/>
          <w:marTop w:val="77"/>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39558">
      <w:bodyDiv w:val="1"/>
      <w:marLeft w:val="0"/>
      <w:marRight w:val="0"/>
      <w:marTop w:val="0"/>
      <w:marBottom w:val="0"/>
      <w:divBdr>
        <w:top w:val="none" w:sz="0" w:space="0" w:color="auto"/>
        <w:left w:val="none" w:sz="0" w:space="0" w:color="auto"/>
        <w:bottom w:val="none" w:sz="0" w:space="0" w:color="auto"/>
        <w:right w:val="none" w:sz="0" w:space="0" w:color="auto"/>
      </w:divBdr>
      <w:divsChild>
        <w:div w:id="1640109321">
          <w:marLeft w:val="547"/>
          <w:marRight w:val="0"/>
          <w:marTop w:val="96"/>
          <w:marBottom w:val="0"/>
          <w:divBdr>
            <w:top w:val="none" w:sz="0" w:space="0" w:color="auto"/>
            <w:left w:val="none" w:sz="0" w:space="0" w:color="auto"/>
            <w:bottom w:val="none" w:sz="0" w:space="0" w:color="auto"/>
            <w:right w:val="none" w:sz="0" w:space="0" w:color="auto"/>
          </w:divBdr>
        </w:div>
        <w:div w:id="2132505688">
          <w:marLeft w:val="1166"/>
          <w:marRight w:val="0"/>
          <w:marTop w:val="86"/>
          <w:marBottom w:val="0"/>
          <w:divBdr>
            <w:top w:val="none" w:sz="0" w:space="0" w:color="auto"/>
            <w:left w:val="none" w:sz="0" w:space="0" w:color="auto"/>
            <w:bottom w:val="none" w:sz="0" w:space="0" w:color="auto"/>
            <w:right w:val="none" w:sz="0" w:space="0" w:color="auto"/>
          </w:divBdr>
        </w:div>
        <w:div w:id="73020085">
          <w:marLeft w:val="1166"/>
          <w:marRight w:val="0"/>
          <w:marTop w:val="86"/>
          <w:marBottom w:val="0"/>
          <w:divBdr>
            <w:top w:val="none" w:sz="0" w:space="0" w:color="auto"/>
            <w:left w:val="none" w:sz="0" w:space="0" w:color="auto"/>
            <w:bottom w:val="none" w:sz="0" w:space="0" w:color="auto"/>
            <w:right w:val="none" w:sz="0" w:space="0" w:color="auto"/>
          </w:divBdr>
        </w:div>
        <w:div w:id="1253902855">
          <w:marLeft w:val="1166"/>
          <w:marRight w:val="0"/>
          <w:marTop w:val="86"/>
          <w:marBottom w:val="0"/>
          <w:divBdr>
            <w:top w:val="none" w:sz="0" w:space="0" w:color="auto"/>
            <w:left w:val="none" w:sz="0" w:space="0" w:color="auto"/>
            <w:bottom w:val="none" w:sz="0" w:space="0" w:color="auto"/>
            <w:right w:val="none" w:sz="0" w:space="0" w:color="auto"/>
          </w:divBdr>
        </w:div>
        <w:div w:id="63989244">
          <w:marLeft w:val="1166"/>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2009973">
      <w:bodyDiv w:val="1"/>
      <w:marLeft w:val="0"/>
      <w:marRight w:val="0"/>
      <w:marTop w:val="0"/>
      <w:marBottom w:val="0"/>
      <w:divBdr>
        <w:top w:val="none" w:sz="0" w:space="0" w:color="auto"/>
        <w:left w:val="none" w:sz="0" w:space="0" w:color="auto"/>
        <w:bottom w:val="none" w:sz="0" w:space="0" w:color="auto"/>
        <w:right w:val="none" w:sz="0" w:space="0" w:color="auto"/>
      </w:divBdr>
      <w:divsChild>
        <w:div w:id="362367722">
          <w:marLeft w:val="547"/>
          <w:marRight w:val="0"/>
          <w:marTop w:val="86"/>
          <w:marBottom w:val="0"/>
          <w:divBdr>
            <w:top w:val="none" w:sz="0" w:space="0" w:color="auto"/>
            <w:left w:val="none" w:sz="0" w:space="0" w:color="auto"/>
            <w:bottom w:val="none" w:sz="0" w:space="0" w:color="auto"/>
            <w:right w:val="none" w:sz="0" w:space="0" w:color="auto"/>
          </w:divBdr>
        </w:div>
        <w:div w:id="1578437534">
          <w:marLeft w:val="1166"/>
          <w:marRight w:val="0"/>
          <w:marTop w:val="77"/>
          <w:marBottom w:val="0"/>
          <w:divBdr>
            <w:top w:val="none" w:sz="0" w:space="0" w:color="auto"/>
            <w:left w:val="none" w:sz="0" w:space="0" w:color="auto"/>
            <w:bottom w:val="none" w:sz="0" w:space="0" w:color="auto"/>
            <w:right w:val="none" w:sz="0" w:space="0" w:color="auto"/>
          </w:divBdr>
        </w:div>
        <w:div w:id="2018338296">
          <w:marLeft w:val="1800"/>
          <w:marRight w:val="0"/>
          <w:marTop w:val="67"/>
          <w:marBottom w:val="0"/>
          <w:divBdr>
            <w:top w:val="none" w:sz="0" w:space="0" w:color="auto"/>
            <w:left w:val="none" w:sz="0" w:space="0" w:color="auto"/>
            <w:bottom w:val="none" w:sz="0" w:space="0" w:color="auto"/>
            <w:right w:val="none" w:sz="0" w:space="0" w:color="auto"/>
          </w:divBdr>
        </w:div>
        <w:div w:id="414011299">
          <w:marLeft w:val="1800"/>
          <w:marRight w:val="0"/>
          <w:marTop w:val="67"/>
          <w:marBottom w:val="0"/>
          <w:divBdr>
            <w:top w:val="none" w:sz="0" w:space="0" w:color="auto"/>
            <w:left w:val="none" w:sz="0" w:space="0" w:color="auto"/>
            <w:bottom w:val="none" w:sz="0" w:space="0" w:color="auto"/>
            <w:right w:val="none" w:sz="0" w:space="0" w:color="auto"/>
          </w:divBdr>
        </w:div>
        <w:div w:id="103038093">
          <w:marLeft w:val="1166"/>
          <w:marRight w:val="0"/>
          <w:marTop w:val="77"/>
          <w:marBottom w:val="0"/>
          <w:divBdr>
            <w:top w:val="none" w:sz="0" w:space="0" w:color="auto"/>
            <w:left w:val="none" w:sz="0" w:space="0" w:color="auto"/>
            <w:bottom w:val="none" w:sz="0" w:space="0" w:color="auto"/>
            <w:right w:val="none" w:sz="0" w:space="0" w:color="auto"/>
          </w:divBdr>
        </w:div>
        <w:div w:id="1238320788">
          <w:marLeft w:val="547"/>
          <w:marRight w:val="0"/>
          <w:marTop w:val="86"/>
          <w:marBottom w:val="0"/>
          <w:divBdr>
            <w:top w:val="none" w:sz="0" w:space="0" w:color="auto"/>
            <w:left w:val="none" w:sz="0" w:space="0" w:color="auto"/>
            <w:bottom w:val="none" w:sz="0" w:space="0" w:color="auto"/>
            <w:right w:val="none" w:sz="0" w:space="0" w:color="auto"/>
          </w:divBdr>
        </w:div>
        <w:div w:id="636647681">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7980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1598427">
      <w:bodyDiv w:val="1"/>
      <w:marLeft w:val="0"/>
      <w:marRight w:val="0"/>
      <w:marTop w:val="0"/>
      <w:marBottom w:val="0"/>
      <w:divBdr>
        <w:top w:val="none" w:sz="0" w:space="0" w:color="auto"/>
        <w:left w:val="none" w:sz="0" w:space="0" w:color="auto"/>
        <w:bottom w:val="none" w:sz="0" w:space="0" w:color="auto"/>
        <w:right w:val="none" w:sz="0" w:space="0" w:color="auto"/>
      </w:divBdr>
      <w:divsChild>
        <w:div w:id="974333699">
          <w:marLeft w:val="1166"/>
          <w:marRight w:val="0"/>
          <w:marTop w:val="77"/>
          <w:marBottom w:val="0"/>
          <w:divBdr>
            <w:top w:val="none" w:sz="0" w:space="0" w:color="auto"/>
            <w:left w:val="none" w:sz="0" w:space="0" w:color="auto"/>
            <w:bottom w:val="none" w:sz="0" w:space="0" w:color="auto"/>
            <w:right w:val="none" w:sz="0" w:space="0" w:color="auto"/>
          </w:divBdr>
        </w:div>
        <w:div w:id="469634814">
          <w:marLeft w:val="1166"/>
          <w:marRight w:val="0"/>
          <w:marTop w:val="77"/>
          <w:marBottom w:val="0"/>
          <w:divBdr>
            <w:top w:val="none" w:sz="0" w:space="0" w:color="auto"/>
            <w:left w:val="none" w:sz="0" w:space="0" w:color="auto"/>
            <w:bottom w:val="none" w:sz="0" w:space="0" w:color="auto"/>
            <w:right w:val="none" w:sz="0" w:space="0" w:color="auto"/>
          </w:divBdr>
        </w:div>
        <w:div w:id="1774126953">
          <w:marLeft w:val="1166"/>
          <w:marRight w:val="0"/>
          <w:marTop w:val="77"/>
          <w:marBottom w:val="0"/>
          <w:divBdr>
            <w:top w:val="none" w:sz="0" w:space="0" w:color="auto"/>
            <w:left w:val="none" w:sz="0" w:space="0" w:color="auto"/>
            <w:bottom w:val="none" w:sz="0" w:space="0" w:color="auto"/>
            <w:right w:val="none" w:sz="0" w:space="0" w:color="auto"/>
          </w:divBdr>
        </w:div>
        <w:div w:id="1959409067">
          <w:marLeft w:val="1800"/>
          <w:marRight w:val="0"/>
          <w:marTop w:val="67"/>
          <w:marBottom w:val="0"/>
          <w:divBdr>
            <w:top w:val="none" w:sz="0" w:space="0" w:color="auto"/>
            <w:left w:val="none" w:sz="0" w:space="0" w:color="auto"/>
            <w:bottom w:val="none" w:sz="0" w:space="0" w:color="auto"/>
            <w:right w:val="none" w:sz="0" w:space="0" w:color="auto"/>
          </w:divBdr>
        </w:div>
        <w:div w:id="1961523369">
          <w:marLeft w:val="1800"/>
          <w:marRight w:val="0"/>
          <w:marTop w:val="67"/>
          <w:marBottom w:val="0"/>
          <w:divBdr>
            <w:top w:val="none" w:sz="0" w:space="0" w:color="auto"/>
            <w:left w:val="none" w:sz="0" w:space="0" w:color="auto"/>
            <w:bottom w:val="none" w:sz="0" w:space="0" w:color="auto"/>
            <w:right w:val="none" w:sz="0" w:space="0" w:color="auto"/>
          </w:divBdr>
        </w:div>
        <w:div w:id="1368987236">
          <w:marLeft w:val="2520"/>
          <w:marRight w:val="0"/>
          <w:marTop w:val="58"/>
          <w:marBottom w:val="0"/>
          <w:divBdr>
            <w:top w:val="none" w:sz="0" w:space="0" w:color="auto"/>
            <w:left w:val="none" w:sz="0" w:space="0" w:color="auto"/>
            <w:bottom w:val="none" w:sz="0" w:space="0" w:color="auto"/>
            <w:right w:val="none" w:sz="0" w:space="0" w:color="auto"/>
          </w:divBdr>
        </w:div>
        <w:div w:id="879128208">
          <w:marLeft w:val="2520"/>
          <w:marRight w:val="0"/>
          <w:marTop w:val="58"/>
          <w:marBottom w:val="0"/>
          <w:divBdr>
            <w:top w:val="none" w:sz="0" w:space="0" w:color="auto"/>
            <w:left w:val="none" w:sz="0" w:space="0" w:color="auto"/>
            <w:bottom w:val="none" w:sz="0" w:space="0" w:color="auto"/>
            <w:right w:val="none" w:sz="0" w:space="0" w:color="auto"/>
          </w:divBdr>
        </w:div>
        <w:div w:id="1496992683">
          <w:marLeft w:val="1166"/>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022292">
      <w:bodyDiv w:val="1"/>
      <w:marLeft w:val="0"/>
      <w:marRight w:val="0"/>
      <w:marTop w:val="0"/>
      <w:marBottom w:val="0"/>
      <w:divBdr>
        <w:top w:val="none" w:sz="0" w:space="0" w:color="auto"/>
        <w:left w:val="none" w:sz="0" w:space="0" w:color="auto"/>
        <w:bottom w:val="none" w:sz="0" w:space="0" w:color="auto"/>
        <w:right w:val="none" w:sz="0" w:space="0" w:color="auto"/>
      </w:divBdr>
      <w:divsChild>
        <w:div w:id="633024731">
          <w:marLeft w:val="547"/>
          <w:marRight w:val="0"/>
          <w:marTop w:val="96"/>
          <w:marBottom w:val="0"/>
          <w:divBdr>
            <w:top w:val="none" w:sz="0" w:space="0" w:color="auto"/>
            <w:left w:val="none" w:sz="0" w:space="0" w:color="auto"/>
            <w:bottom w:val="none" w:sz="0" w:space="0" w:color="auto"/>
            <w:right w:val="none" w:sz="0" w:space="0" w:color="auto"/>
          </w:divBdr>
        </w:div>
        <w:div w:id="945582015">
          <w:marLeft w:val="1166"/>
          <w:marRight w:val="0"/>
          <w:marTop w:val="86"/>
          <w:marBottom w:val="0"/>
          <w:divBdr>
            <w:top w:val="none" w:sz="0" w:space="0" w:color="auto"/>
            <w:left w:val="none" w:sz="0" w:space="0" w:color="auto"/>
            <w:bottom w:val="none" w:sz="0" w:space="0" w:color="auto"/>
            <w:right w:val="none" w:sz="0" w:space="0" w:color="auto"/>
          </w:divBdr>
        </w:div>
        <w:div w:id="641429198">
          <w:marLeft w:val="1987"/>
          <w:marRight w:val="0"/>
          <w:marTop w:val="77"/>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4878">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B57C5-A436-4953-AD3A-764746924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4B7397D-A141-4F63-B712-0CE98E1C192D}">
  <ds:schemaRefs>
    <ds:schemaRef ds:uri="http://schemas.openxmlformats.org/officeDocument/2006/bibliography"/>
  </ds:schemaRefs>
</ds:datastoreItem>
</file>

<file path=customXml/itemProps5.xml><?xml version="1.0" encoding="utf-8"?>
<ds:datastoreItem xmlns:ds="http://schemas.openxmlformats.org/officeDocument/2006/customXml" ds:itemID="{33C275C3-032A-4FE4-974A-6DBFE18F1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641</Words>
  <Characters>3656</Characters>
  <Application>Microsoft Office Word</Application>
  <DocSecurity>0</DocSecurity>
  <Lines>30</Lines>
  <Paragraphs>8</Paragraphs>
  <ScaleCrop>false</ScaleCrop>
  <Company>Intel Corporation</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180</cp:revision>
  <cp:lastPrinted>2018-02-12T13:00:00Z</cp:lastPrinted>
  <dcterms:created xsi:type="dcterms:W3CDTF">2020-02-14T17:33:00Z</dcterms:created>
  <dcterms:modified xsi:type="dcterms:W3CDTF">2021-01-15T21:44:00Z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